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Карта учебно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методической обеспеченности дисциплины</w:t>
      </w:r>
    </w:p>
    <w:p>
      <w:pPr>
        <w:pStyle w:val="Обычный"/>
        <w:jc w:val="center"/>
      </w:pPr>
    </w:p>
    <w:tbl>
      <w:tblPr>
        <w:tblW w:w="1450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"/>
        <w:gridCol w:w="1948"/>
        <w:gridCol w:w="2180"/>
        <w:gridCol w:w="3327"/>
        <w:gridCol w:w="2488"/>
        <w:gridCol w:w="1046"/>
        <w:gridCol w:w="1051"/>
        <w:gridCol w:w="998"/>
        <w:gridCol w:w="1003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6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19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Факультет</w:t>
            </w:r>
          </w:p>
        </w:tc>
        <w:tc>
          <w:tcPr>
            <w:tcW w:type="dxa" w:w="21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Код и наименование специальности</w:t>
            </w:r>
          </w:p>
        </w:tc>
        <w:tc>
          <w:tcPr>
            <w:tcW w:type="dxa" w:w="33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Наименование дисциплины</w:t>
            </w:r>
          </w:p>
        </w:tc>
        <w:tc>
          <w:tcPr>
            <w:tcW w:type="dxa" w:w="24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Авторы и название учебника</w:t>
            </w:r>
          </w:p>
        </w:tc>
        <w:tc>
          <w:tcPr>
            <w:tcW w:type="dxa" w:w="40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Количество в библиотеке КазНУ имени аль</w:t>
            </w:r>
            <w:r>
              <w:rPr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b w:val="1"/>
                <w:bCs w:val="1"/>
                <w:shd w:val="nil" w:color="auto" w:fill="auto"/>
                <w:rtl w:val="0"/>
              </w:rPr>
              <w:t>Фараби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основная</w:t>
            </w:r>
          </w:p>
        </w:tc>
        <w:tc>
          <w:tcPr>
            <w:tcW w:type="dxa" w:w="20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дополнительная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каз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рус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каз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рус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46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9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Физико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Технический факультет</w:t>
            </w:r>
          </w:p>
        </w:tc>
        <w:tc>
          <w:tcPr>
            <w:tcW w:type="dxa" w:w="21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jc w:val="center"/>
              <w:rPr>
                <w:u w:val="single"/>
                <w:shd w:val="nil" w:color="auto" w:fill="auto"/>
                <w:lang w:val="en-US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u w:val="single"/>
                <w:shd w:val="nil" w:color="auto" w:fill="auto"/>
                <w:rtl w:val="0"/>
                <w:lang w:val="ru-RU"/>
              </w:rPr>
              <w:t>«</w:t>
            </w:r>
            <w:r>
              <w:rPr>
                <w:shd w:val="nil" w:color="auto" w:fill="auto"/>
                <w:rtl w:val="0"/>
                <w:lang w:val="ru-RU"/>
              </w:rPr>
              <w:t>Радиотехника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электроника и телекоммуникации</w:t>
            </w:r>
            <w:r>
              <w:rPr>
                <w:shd w:val="nil" w:color="auto" w:fill="auto"/>
                <w:rtl w:val="0"/>
              </w:rPr>
              <w:t xml:space="preserve"> -6</w:t>
            </w: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</w:rPr>
              <w:t>071900</w:t>
            </w:r>
            <w:r>
              <w:rPr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33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Мобильные многоканальные технологии</w:t>
            </w:r>
          </w:p>
        </w:tc>
        <w:tc>
          <w:tcPr>
            <w:tcW w:type="dxa" w:w="2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З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Жанабаев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С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Тарасов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Н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Е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Алмасбеков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;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Статистические методы радиофизики и электроники 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500 </w:t>
            </w:r>
          </w:p>
        </w:tc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4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Самойло К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А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br w:type="textWrapping"/>
              <w:t xml:space="preserve">Синхронизация генераторов гармоничных колебаний и параметрические генераторы и усилители 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2000 </w:t>
            </w:r>
          </w:p>
        </w:tc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200</w:t>
            </w:r>
          </w:p>
        </w:tc>
        <w:tc>
          <w:tcPr>
            <w:tcW w:type="dxa" w:w="1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4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З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Жанабаев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Компьютерное моделирование в радиофизике и электронике  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51</w:t>
            </w:r>
          </w:p>
        </w:tc>
        <w:tc>
          <w:tcPr>
            <w:tcW w:type="dxa" w:w="1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46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Ахметов 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Қ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 Радиоэлектроника негіздері</w:t>
            </w:r>
          </w:p>
        </w:tc>
        <w:tc>
          <w:tcPr>
            <w:tcW w:type="dxa" w:w="1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90</w:t>
            </w:r>
          </w:p>
        </w:tc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jc w:val="center"/>
      </w:pPr>
      <w:r/>
    </w:p>
    <w:sectPr>
      <w:headerReference w:type="default" r:id="rId4"/>
      <w:footerReference w:type="default" r:id="rId5"/>
      <w:pgSz w:w="16840" w:h="11900" w:orient="landscape"/>
      <w:pgMar w:top="851" w:right="1134" w:bottom="170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